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FD21" w14:textId="70512B10" w:rsidR="0051204D" w:rsidRPr="0051204D" w:rsidRDefault="0051204D" w:rsidP="0051204D">
      <w:pPr>
        <w:rPr>
          <w:b/>
          <w:bCs/>
        </w:rPr>
      </w:pPr>
      <w:r>
        <w:rPr>
          <w:b/>
          <w:bCs/>
        </w:rPr>
        <w:t>FCVA Terms and Conditions</w:t>
      </w:r>
      <w:r w:rsidRPr="0051204D">
        <w:rPr>
          <w:b/>
          <w:bCs/>
        </w:rPr>
        <w:br/>
      </w:r>
    </w:p>
    <w:p w14:paraId="24BFBA54" w14:textId="77777777" w:rsidR="0051204D" w:rsidRPr="0051204D" w:rsidRDefault="0051204D" w:rsidP="0051204D">
      <w:r w:rsidRPr="0051204D">
        <w:rPr>
          <w:b/>
          <w:bCs/>
        </w:rPr>
        <w:t>What we will do</w:t>
      </w:r>
    </w:p>
    <w:p w14:paraId="332B50D1" w14:textId="77777777" w:rsidR="0051204D" w:rsidRDefault="0051204D" w:rsidP="0051204D">
      <w:r>
        <w:t xml:space="preserve">We will request information about your case, such as the account details of the payee receiving your funds, as well as transaction details (date, amount, payment method, etc.).  </w:t>
      </w:r>
      <w:r>
        <w:t>We will request that you complete a Fraud Affidavit attesting to the facts of your case.</w:t>
      </w:r>
    </w:p>
    <w:p w14:paraId="73D3DD41" w14:textId="77777777" w:rsidR="0051204D" w:rsidRDefault="0051204D" w:rsidP="0051204D">
      <w:r>
        <w:t>Based on your location, we will identify the appropriate law enforcement office for reporting, and assist you in the reporting process.</w:t>
      </w:r>
    </w:p>
    <w:p w14:paraId="10FC96EA" w14:textId="78D6B9AD" w:rsidR="0051204D" w:rsidRDefault="0051204D" w:rsidP="0051204D">
      <w:r>
        <w:t>We will work with you to complete an IC3 (Internet Criminal Complaint Center).</w:t>
      </w:r>
    </w:p>
    <w:p w14:paraId="5D1B3BEC" w14:textId="77777777" w:rsidR="0051204D" w:rsidRDefault="0051204D" w:rsidP="0051204D">
      <w:r>
        <w:t>We will provide guidance on handling contact with your bank.</w:t>
      </w:r>
    </w:p>
    <w:p w14:paraId="4CC47F35" w14:textId="3154999D" w:rsidR="0051204D" w:rsidRDefault="0051204D" w:rsidP="0051204D">
      <w:r>
        <w:t xml:space="preserve">We will work with the recipient bank directly. </w:t>
      </w:r>
    </w:p>
    <w:p w14:paraId="093F131F" w14:textId="3DDD314F" w:rsidR="004D1A7E" w:rsidRDefault="004D1A7E" w:rsidP="0051204D">
      <w:r w:rsidRPr="0051204D">
        <w:t xml:space="preserve">We will </w:t>
      </w:r>
      <w:r>
        <w:t xml:space="preserve">work your case as quickly as possible.  </w:t>
      </w:r>
    </w:p>
    <w:p w14:paraId="759FECD9" w14:textId="643C4EF0" w:rsidR="004D1A7E" w:rsidRDefault="004D1A7E" w:rsidP="0051204D">
      <w:r>
        <w:t>We will provide guidance on any other reporting that may be needed (e.g., Federal Trade Commission (FTC), Better Business Bureau (BBB), regulatory agencies, credit bureaus, etc.).</w:t>
      </w:r>
    </w:p>
    <w:p w14:paraId="1EA0195A" w14:textId="1D1AD269" w:rsidR="0051204D" w:rsidRPr="0051204D" w:rsidRDefault="0051204D" w:rsidP="0051204D">
      <w:pPr>
        <w:rPr>
          <w:b/>
          <w:bCs/>
        </w:rPr>
      </w:pPr>
      <w:r>
        <w:rPr>
          <w:b/>
          <w:bCs/>
        </w:rPr>
        <w:t>What we will not do</w:t>
      </w:r>
    </w:p>
    <w:p w14:paraId="11A3D5D3" w14:textId="30545D9D" w:rsidR="0051204D" w:rsidRDefault="0051204D" w:rsidP="0051204D">
      <w:pPr>
        <w:pStyle w:val="ListParagraph"/>
        <w:numPr>
          <w:ilvl w:val="0"/>
          <w:numId w:val="7"/>
        </w:numPr>
      </w:pPr>
      <w:r>
        <w:t>We will never ask for personal identification information (PII), such as your social security number, date of birth or any other identifying information</w:t>
      </w:r>
    </w:p>
    <w:p w14:paraId="7BAAE69F" w14:textId="6C290B70" w:rsidR="0051204D" w:rsidRDefault="0051204D" w:rsidP="0051204D">
      <w:pPr>
        <w:pStyle w:val="ListParagraph"/>
        <w:numPr>
          <w:ilvl w:val="0"/>
          <w:numId w:val="7"/>
        </w:numPr>
      </w:pPr>
      <w:r>
        <w:t>We will not contact your bank without your express consent.</w:t>
      </w:r>
    </w:p>
    <w:p w14:paraId="4ECFCA29" w14:textId="577AC9F3" w:rsidR="0051204D" w:rsidRDefault="0051204D" w:rsidP="0051204D">
      <w:pPr>
        <w:pStyle w:val="ListParagraph"/>
        <w:numPr>
          <w:ilvl w:val="0"/>
          <w:numId w:val="7"/>
        </w:numPr>
      </w:pPr>
      <w:r>
        <w:t>We cannot accept fraud claims that are less than $1,000 – we can still provide guidance, but we don’t believe we can facilitate a successful recovery on amounts less that that.</w:t>
      </w:r>
    </w:p>
    <w:p w14:paraId="27A49C69" w14:textId="77777777" w:rsidR="004D1A7E" w:rsidRDefault="004D1A7E" w:rsidP="0051204D">
      <w:pPr>
        <w:rPr>
          <w:b/>
          <w:bCs/>
        </w:rPr>
      </w:pPr>
      <w:r>
        <w:rPr>
          <w:b/>
          <w:bCs/>
        </w:rPr>
        <w:t>Fees</w:t>
      </w:r>
    </w:p>
    <w:p w14:paraId="28D349E6" w14:textId="77777777" w:rsidR="004D1A7E" w:rsidRDefault="004D1A7E" w:rsidP="004D1A7E">
      <w:r>
        <w:t>We will only collect a fee if we successfully recover all or a partial amount, of your funds.  The fee schedule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1A7E" w14:paraId="1CCADCF0" w14:textId="77777777" w:rsidTr="004D1A7E">
        <w:tc>
          <w:tcPr>
            <w:tcW w:w="3116" w:type="dxa"/>
            <w:shd w:val="clear" w:color="auto" w:fill="0A2F41" w:themeFill="accent1" w:themeFillShade="80"/>
          </w:tcPr>
          <w:p w14:paraId="30B28DCD" w14:textId="083625DE" w:rsidR="004D1A7E" w:rsidRPr="004D1A7E" w:rsidRDefault="004D1A7E" w:rsidP="0051204D">
            <w:pPr>
              <w:rPr>
                <w:b/>
                <w:bCs/>
                <w:color w:val="FFFFFF" w:themeColor="background1"/>
              </w:rPr>
            </w:pPr>
            <w:bookmarkStart w:id="0" w:name="_Hlk205198303"/>
            <w:r>
              <w:rPr>
                <w:b/>
                <w:bCs/>
                <w:color w:val="FFFFFF" w:themeColor="background1"/>
              </w:rPr>
              <w:t>Claim Amount</w:t>
            </w:r>
          </w:p>
        </w:tc>
        <w:tc>
          <w:tcPr>
            <w:tcW w:w="3117" w:type="dxa"/>
            <w:shd w:val="clear" w:color="auto" w:fill="0A2F41" w:themeFill="accent1" w:themeFillShade="80"/>
          </w:tcPr>
          <w:p w14:paraId="4CF6CC83" w14:textId="3534B80C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Fee %</w:t>
            </w:r>
          </w:p>
        </w:tc>
        <w:tc>
          <w:tcPr>
            <w:tcW w:w="3117" w:type="dxa"/>
            <w:shd w:val="clear" w:color="auto" w:fill="0A2F41" w:themeFill="accent1" w:themeFillShade="80"/>
          </w:tcPr>
          <w:p w14:paraId="33108BAB" w14:textId="57017FF7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Max Fee Amount</w:t>
            </w:r>
          </w:p>
        </w:tc>
      </w:tr>
      <w:tr w:rsidR="004D1A7E" w14:paraId="68BE3D8F" w14:textId="77777777" w:rsidTr="004D1A7E">
        <w:tc>
          <w:tcPr>
            <w:tcW w:w="3116" w:type="dxa"/>
          </w:tcPr>
          <w:p w14:paraId="06731E03" w14:textId="27E239DE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Less than $10,000</w:t>
            </w:r>
          </w:p>
        </w:tc>
        <w:tc>
          <w:tcPr>
            <w:tcW w:w="3117" w:type="dxa"/>
          </w:tcPr>
          <w:p w14:paraId="095305D3" w14:textId="77777777" w:rsidR="004D1A7E" w:rsidRDefault="004D1A7E" w:rsidP="0051204D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11333FC" w14:textId="3F1D8BDD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$300.00</w:t>
            </w:r>
          </w:p>
        </w:tc>
      </w:tr>
      <w:tr w:rsidR="004D1A7E" w14:paraId="46F9E587" w14:textId="77777777" w:rsidTr="004D1A7E">
        <w:tc>
          <w:tcPr>
            <w:tcW w:w="3116" w:type="dxa"/>
          </w:tcPr>
          <w:p w14:paraId="2D8AB769" w14:textId="5BFCB3F0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$10,000 - $100,000</w:t>
            </w:r>
          </w:p>
        </w:tc>
        <w:tc>
          <w:tcPr>
            <w:tcW w:w="3117" w:type="dxa"/>
          </w:tcPr>
          <w:p w14:paraId="3DAAF0EA" w14:textId="12E605B5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3%</w:t>
            </w:r>
          </w:p>
        </w:tc>
        <w:tc>
          <w:tcPr>
            <w:tcW w:w="3117" w:type="dxa"/>
          </w:tcPr>
          <w:p w14:paraId="61E91C92" w14:textId="5F9BDE82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$2,500</w:t>
            </w:r>
          </w:p>
        </w:tc>
      </w:tr>
      <w:tr w:rsidR="004D1A7E" w14:paraId="0B920EB2" w14:textId="77777777" w:rsidTr="004D1A7E">
        <w:tc>
          <w:tcPr>
            <w:tcW w:w="3116" w:type="dxa"/>
          </w:tcPr>
          <w:p w14:paraId="7BE759BC" w14:textId="0FBBD63E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Over $100,000</w:t>
            </w:r>
          </w:p>
        </w:tc>
        <w:tc>
          <w:tcPr>
            <w:tcW w:w="3117" w:type="dxa"/>
          </w:tcPr>
          <w:p w14:paraId="756A7E80" w14:textId="66FDA042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2%</w:t>
            </w:r>
          </w:p>
        </w:tc>
        <w:tc>
          <w:tcPr>
            <w:tcW w:w="3117" w:type="dxa"/>
          </w:tcPr>
          <w:p w14:paraId="1183E26C" w14:textId="469816F2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$5,000</w:t>
            </w:r>
          </w:p>
        </w:tc>
      </w:tr>
      <w:tr w:rsidR="004D1A7E" w14:paraId="07BDA1B8" w14:textId="77777777" w:rsidTr="004D1A7E">
        <w:tc>
          <w:tcPr>
            <w:tcW w:w="3116" w:type="dxa"/>
          </w:tcPr>
          <w:p w14:paraId="7D4A84BF" w14:textId="25FD39C3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Over $1 million</w:t>
            </w:r>
          </w:p>
        </w:tc>
        <w:tc>
          <w:tcPr>
            <w:tcW w:w="3117" w:type="dxa"/>
          </w:tcPr>
          <w:p w14:paraId="2ED39B88" w14:textId="05053B44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1%</w:t>
            </w:r>
          </w:p>
        </w:tc>
        <w:tc>
          <w:tcPr>
            <w:tcW w:w="3117" w:type="dxa"/>
          </w:tcPr>
          <w:p w14:paraId="07028BE6" w14:textId="437B8AD3" w:rsidR="004D1A7E" w:rsidRDefault="004D1A7E" w:rsidP="0051204D">
            <w:pPr>
              <w:rPr>
                <w:b/>
                <w:bCs/>
              </w:rPr>
            </w:pPr>
            <w:r>
              <w:rPr>
                <w:b/>
                <w:bCs/>
              </w:rPr>
              <w:t>$10,000</w:t>
            </w:r>
          </w:p>
        </w:tc>
      </w:tr>
      <w:bookmarkEnd w:id="0"/>
    </w:tbl>
    <w:p w14:paraId="02A2F7CD" w14:textId="77777777" w:rsidR="004D1A7E" w:rsidRDefault="004D1A7E" w:rsidP="0051204D">
      <w:pPr>
        <w:rPr>
          <w:b/>
          <w:bCs/>
        </w:rPr>
      </w:pPr>
    </w:p>
    <w:p w14:paraId="50D94D02" w14:textId="77777777" w:rsidR="004D1A7E" w:rsidRDefault="004D1A7E" w:rsidP="0051204D">
      <w:pPr>
        <w:rPr>
          <w:b/>
          <w:bCs/>
        </w:rPr>
      </w:pPr>
      <w:r>
        <w:rPr>
          <w:b/>
          <w:bCs/>
        </w:rPr>
        <w:t>There is no fee if funds are not recovered.</w:t>
      </w:r>
    </w:p>
    <w:p w14:paraId="4352D350" w14:textId="0F1918CE" w:rsidR="0051204D" w:rsidRPr="0051204D" w:rsidRDefault="0051204D" w:rsidP="0051204D">
      <w:r w:rsidRPr="0051204D">
        <w:rPr>
          <w:b/>
          <w:bCs/>
        </w:rPr>
        <w:lastRenderedPageBreak/>
        <w:t>What is a “successful” case</w:t>
      </w:r>
    </w:p>
    <w:p w14:paraId="0CD1BACC" w14:textId="083BA61A" w:rsidR="004D1A7E" w:rsidRDefault="0051204D" w:rsidP="0081006A">
      <w:pPr>
        <w:numPr>
          <w:ilvl w:val="0"/>
          <w:numId w:val="4"/>
        </w:numPr>
      </w:pPr>
      <w:r w:rsidRPr="0051204D">
        <w:t xml:space="preserve">A case is deemed successful once </w:t>
      </w:r>
      <w:r w:rsidR="004D1A7E">
        <w:t>the funds have been returned to the originating bank.</w:t>
      </w:r>
    </w:p>
    <w:p w14:paraId="30B55EE1" w14:textId="01A799EB" w:rsidR="0051204D" w:rsidRPr="0051204D" w:rsidRDefault="0051204D" w:rsidP="004D1A7E">
      <w:pPr>
        <w:pStyle w:val="ListParagraph"/>
        <w:numPr>
          <w:ilvl w:val="0"/>
          <w:numId w:val="4"/>
        </w:numPr>
      </w:pPr>
      <w:r w:rsidRPr="0051204D">
        <w:t>If you</w:t>
      </w:r>
      <w:r w:rsidR="004D1A7E">
        <w:t xml:space="preserve"> have sent payments to multiple banks, the payments will be combined into a single case.  Fees will be charged on the aggregate amount of recovery.</w:t>
      </w:r>
    </w:p>
    <w:p w14:paraId="27DCC2EB" w14:textId="77777777" w:rsidR="0051204D" w:rsidRPr="0051204D" w:rsidRDefault="0051204D" w:rsidP="0051204D">
      <w:r w:rsidRPr="0051204D">
        <w:rPr>
          <w:b/>
          <w:bCs/>
        </w:rPr>
        <w:t>How are fees paid?</w:t>
      </w:r>
    </w:p>
    <w:p w14:paraId="5B2E7C4C" w14:textId="5AB97AFC" w:rsidR="0051204D" w:rsidRPr="0051204D" w:rsidRDefault="0051204D" w:rsidP="0051204D">
      <w:r w:rsidRPr="0051204D">
        <w:t xml:space="preserve">Our fees apply once you receive a notification </w:t>
      </w:r>
      <w:r w:rsidR="000D20B0">
        <w:t>that funds have been returned to you</w:t>
      </w:r>
      <w:r w:rsidRPr="0051204D">
        <w:t xml:space="preserve">. The fee is calculated based on the amount </w:t>
      </w:r>
      <w:r w:rsidR="004D1A7E">
        <w:t>of recovery you received</w:t>
      </w:r>
      <w:r w:rsidRPr="0051204D">
        <w:t>, and must be paid within 7 days of you receiving your money from the bank.</w:t>
      </w:r>
    </w:p>
    <w:p w14:paraId="21636207" w14:textId="469B4A6D" w:rsidR="0051204D" w:rsidRPr="0051204D" w:rsidRDefault="0051204D" w:rsidP="0051204D">
      <w:r w:rsidRPr="0051204D">
        <w:t>You can transfer</w:t>
      </w:r>
      <w:r w:rsidR="004D1A7E">
        <w:t xml:space="preserve"> or mail</w:t>
      </w:r>
      <w:r w:rsidRPr="0051204D">
        <w:t xml:space="preserve"> funds directly to </w:t>
      </w:r>
      <w:r w:rsidR="004D1A7E">
        <w:t>FCVA.  Payment instructions will be provided</w:t>
      </w:r>
      <w:r w:rsidRPr="0051204D">
        <w:t>.</w:t>
      </w:r>
    </w:p>
    <w:sectPr w:rsidR="0051204D" w:rsidRPr="0051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A74"/>
    <w:multiLevelType w:val="multilevel"/>
    <w:tmpl w:val="81307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0384D"/>
    <w:multiLevelType w:val="multilevel"/>
    <w:tmpl w:val="3FE21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071DC"/>
    <w:multiLevelType w:val="multilevel"/>
    <w:tmpl w:val="B6A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7347C"/>
    <w:multiLevelType w:val="multilevel"/>
    <w:tmpl w:val="64B0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D7F21"/>
    <w:multiLevelType w:val="multilevel"/>
    <w:tmpl w:val="EFA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65CCF"/>
    <w:multiLevelType w:val="multilevel"/>
    <w:tmpl w:val="66AE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644C3"/>
    <w:multiLevelType w:val="hybridMultilevel"/>
    <w:tmpl w:val="564C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86934">
    <w:abstractNumId w:val="5"/>
  </w:num>
  <w:num w:numId="2" w16cid:durableId="1688020935">
    <w:abstractNumId w:val="0"/>
  </w:num>
  <w:num w:numId="3" w16cid:durableId="1755971625">
    <w:abstractNumId w:val="1"/>
  </w:num>
  <w:num w:numId="4" w16cid:durableId="890731809">
    <w:abstractNumId w:val="3"/>
  </w:num>
  <w:num w:numId="5" w16cid:durableId="1763600035">
    <w:abstractNumId w:val="2"/>
  </w:num>
  <w:num w:numId="6" w16cid:durableId="1361124735">
    <w:abstractNumId w:val="4"/>
  </w:num>
  <w:num w:numId="7" w16cid:durableId="2053575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4D"/>
    <w:rsid w:val="000D20B0"/>
    <w:rsid w:val="00340679"/>
    <w:rsid w:val="0036688C"/>
    <w:rsid w:val="00442A75"/>
    <w:rsid w:val="004A46DD"/>
    <w:rsid w:val="004D1A7E"/>
    <w:rsid w:val="0051204D"/>
    <w:rsid w:val="00882307"/>
    <w:rsid w:val="008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7E98"/>
  <w15:chartTrackingRefBased/>
  <w15:docId w15:val="{F3806ABD-D48C-496D-A844-ED19C6DE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0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0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0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20398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16050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4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79321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7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395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2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3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3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3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7178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8664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8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8307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9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7376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5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6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9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12725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0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1222B"/>
                                <w:left w:val="none" w:sz="0" w:space="0" w:color="11222B"/>
                                <w:bottom w:val="none" w:sz="0" w:space="0" w:color="11222B"/>
                                <w:right w:val="none" w:sz="0" w:space="0" w:color="11222B"/>
                              </w:divBdr>
                              <w:divsChild>
                                <w:div w:id="1997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C78D-93E8-40E1-9E7F-9FC966AD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Cox</dc:creator>
  <cp:keywords/>
  <dc:description/>
  <cp:lastModifiedBy>Becky Cox</cp:lastModifiedBy>
  <cp:revision>2</cp:revision>
  <dcterms:created xsi:type="dcterms:W3CDTF">2025-08-04T12:43:00Z</dcterms:created>
  <dcterms:modified xsi:type="dcterms:W3CDTF">2025-08-04T16:19:00Z</dcterms:modified>
</cp:coreProperties>
</file>