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DF6E" w14:textId="29622363" w:rsidR="0036688C" w:rsidRDefault="00572CA7">
      <w:pPr>
        <w:rPr>
          <w:b/>
          <w:bCs/>
        </w:rPr>
      </w:pPr>
      <w:r>
        <w:rPr>
          <w:b/>
          <w:bCs/>
        </w:rPr>
        <w:t>Frequently Asked Questions</w:t>
      </w:r>
    </w:p>
    <w:p w14:paraId="1AA95198" w14:textId="009ACC5F" w:rsidR="00572CA7" w:rsidRDefault="00572CA7">
      <w:pPr>
        <w:rPr>
          <w:b/>
          <w:bCs/>
        </w:rPr>
      </w:pPr>
      <w:r>
        <w:rPr>
          <w:b/>
          <w:bCs/>
        </w:rPr>
        <w:t>Q – Will I be successful in getting my money back?</w:t>
      </w:r>
    </w:p>
    <w:p w14:paraId="6AD7EC5B" w14:textId="1721D420" w:rsidR="00572CA7" w:rsidRDefault="00572CA7">
      <w:r>
        <w:t>A – In full transparency, it is difficult to win recoveries.  It is all about the timing of the transactions, and whether or not the beneficiary financial institution identified the activity as unusual.  FCVA can never provide any guarantees of recovery, but if we are unsuccessful, we don’t make anything.</w:t>
      </w:r>
    </w:p>
    <w:p w14:paraId="587BCC90" w14:textId="39447013" w:rsidR="00572CA7" w:rsidRDefault="00572CA7">
      <w:pPr>
        <w:rPr>
          <w:b/>
          <w:bCs/>
        </w:rPr>
      </w:pPr>
      <w:r>
        <w:rPr>
          <w:b/>
          <w:bCs/>
        </w:rPr>
        <w:t>Q – Why do I need FCVA? Can’t I just do this myself?</w:t>
      </w:r>
    </w:p>
    <w:p w14:paraId="77045173" w14:textId="66A8E18D" w:rsidR="00572CA7" w:rsidRDefault="00572CA7">
      <w:r>
        <w:t xml:space="preserve">A – To a certain extent, yes.  You can complete the reporting to law enforcement as well as other agencies.  However, that’s where most assistance ends.  Most agencies are not going to take the extra step in contacting beneficiary financial institutions to see if any funds remain.  </w:t>
      </w:r>
    </w:p>
    <w:p w14:paraId="2E35F7BF" w14:textId="29A92A0C" w:rsidR="00572CA7" w:rsidRDefault="00572CA7">
      <w:pPr>
        <w:rPr>
          <w:b/>
          <w:bCs/>
        </w:rPr>
      </w:pPr>
      <w:r>
        <w:rPr>
          <w:b/>
          <w:bCs/>
        </w:rPr>
        <w:t>Q – I heard that recovery firms were scams.  How is FCVA different?</w:t>
      </w:r>
    </w:p>
    <w:p w14:paraId="020A6917" w14:textId="3C3D5E36" w:rsidR="00572CA7" w:rsidRDefault="00572CA7">
      <w:r>
        <w:t>A – FCVA will never ask you for any upfront fees or payments.  We are in the business of assisting victims, and as a former banker, assisting financial institutions in expediting a painful operational process.</w:t>
      </w:r>
    </w:p>
    <w:p w14:paraId="48E9C2A0" w14:textId="523396CF" w:rsidR="00572CA7" w:rsidRDefault="00572CA7">
      <w:pPr>
        <w:rPr>
          <w:b/>
          <w:bCs/>
        </w:rPr>
      </w:pPr>
      <w:r>
        <w:rPr>
          <w:b/>
          <w:bCs/>
        </w:rPr>
        <w:t xml:space="preserve">Q – What fees does FCVA charge?  </w:t>
      </w:r>
    </w:p>
    <w:p w14:paraId="0A64F722" w14:textId="26B3C360" w:rsidR="00572CA7" w:rsidRDefault="00572CA7">
      <w:r>
        <w:t>A – Our fee schedule is simple and depends on the amount of the recovery:</w:t>
      </w:r>
    </w:p>
    <w:tbl>
      <w:tblPr>
        <w:tblStyle w:val="TableGrid"/>
        <w:tblW w:w="0" w:type="auto"/>
        <w:tblLook w:val="04A0" w:firstRow="1" w:lastRow="0" w:firstColumn="1" w:lastColumn="0" w:noHBand="0" w:noVBand="1"/>
      </w:tblPr>
      <w:tblGrid>
        <w:gridCol w:w="3116"/>
        <w:gridCol w:w="3117"/>
        <w:gridCol w:w="3117"/>
      </w:tblGrid>
      <w:tr w:rsidR="00572CA7" w14:paraId="143FC2B3" w14:textId="77777777" w:rsidTr="006114CF">
        <w:tc>
          <w:tcPr>
            <w:tcW w:w="3116" w:type="dxa"/>
            <w:shd w:val="clear" w:color="auto" w:fill="0A2F41" w:themeFill="accent1" w:themeFillShade="80"/>
          </w:tcPr>
          <w:p w14:paraId="47C4ED15" w14:textId="77777777" w:rsidR="00572CA7" w:rsidRPr="004D1A7E" w:rsidRDefault="00572CA7" w:rsidP="006114CF">
            <w:pPr>
              <w:rPr>
                <w:b/>
                <w:bCs/>
                <w:color w:val="FFFFFF" w:themeColor="background1"/>
              </w:rPr>
            </w:pPr>
            <w:r>
              <w:rPr>
                <w:b/>
                <w:bCs/>
                <w:color w:val="FFFFFF" w:themeColor="background1"/>
              </w:rPr>
              <w:t>Claim Amount</w:t>
            </w:r>
          </w:p>
        </w:tc>
        <w:tc>
          <w:tcPr>
            <w:tcW w:w="3117" w:type="dxa"/>
            <w:shd w:val="clear" w:color="auto" w:fill="0A2F41" w:themeFill="accent1" w:themeFillShade="80"/>
          </w:tcPr>
          <w:p w14:paraId="68C80C67" w14:textId="77777777" w:rsidR="00572CA7" w:rsidRDefault="00572CA7" w:rsidP="006114CF">
            <w:pPr>
              <w:rPr>
                <w:b/>
                <w:bCs/>
              </w:rPr>
            </w:pPr>
            <w:r>
              <w:rPr>
                <w:b/>
                <w:bCs/>
              </w:rPr>
              <w:t>Fee %</w:t>
            </w:r>
          </w:p>
        </w:tc>
        <w:tc>
          <w:tcPr>
            <w:tcW w:w="3117" w:type="dxa"/>
            <w:shd w:val="clear" w:color="auto" w:fill="0A2F41" w:themeFill="accent1" w:themeFillShade="80"/>
          </w:tcPr>
          <w:p w14:paraId="5D90BA16" w14:textId="77777777" w:rsidR="00572CA7" w:rsidRDefault="00572CA7" w:rsidP="006114CF">
            <w:pPr>
              <w:rPr>
                <w:b/>
                <w:bCs/>
              </w:rPr>
            </w:pPr>
            <w:r>
              <w:rPr>
                <w:b/>
                <w:bCs/>
              </w:rPr>
              <w:t>Max Fee Amount</w:t>
            </w:r>
          </w:p>
        </w:tc>
      </w:tr>
      <w:tr w:rsidR="00572CA7" w14:paraId="698FD2D6" w14:textId="77777777" w:rsidTr="006114CF">
        <w:tc>
          <w:tcPr>
            <w:tcW w:w="3116" w:type="dxa"/>
          </w:tcPr>
          <w:p w14:paraId="6D1D054C" w14:textId="77777777" w:rsidR="00572CA7" w:rsidRDefault="00572CA7" w:rsidP="006114CF">
            <w:pPr>
              <w:rPr>
                <w:b/>
                <w:bCs/>
              </w:rPr>
            </w:pPr>
            <w:r>
              <w:rPr>
                <w:b/>
                <w:bCs/>
              </w:rPr>
              <w:t>Less than $10,000</w:t>
            </w:r>
          </w:p>
        </w:tc>
        <w:tc>
          <w:tcPr>
            <w:tcW w:w="3117" w:type="dxa"/>
          </w:tcPr>
          <w:p w14:paraId="0D611E43" w14:textId="55CECEFC" w:rsidR="00572CA7" w:rsidRDefault="000E2784" w:rsidP="006114CF">
            <w:pPr>
              <w:rPr>
                <w:b/>
                <w:bCs/>
              </w:rPr>
            </w:pPr>
            <w:r>
              <w:rPr>
                <w:b/>
                <w:bCs/>
              </w:rPr>
              <w:t>3%</w:t>
            </w:r>
          </w:p>
        </w:tc>
        <w:tc>
          <w:tcPr>
            <w:tcW w:w="3117" w:type="dxa"/>
          </w:tcPr>
          <w:p w14:paraId="61D2A84F" w14:textId="77777777" w:rsidR="00572CA7" w:rsidRDefault="00572CA7" w:rsidP="006114CF">
            <w:pPr>
              <w:rPr>
                <w:b/>
                <w:bCs/>
              </w:rPr>
            </w:pPr>
            <w:r>
              <w:rPr>
                <w:b/>
                <w:bCs/>
              </w:rPr>
              <w:t>$300.00</w:t>
            </w:r>
          </w:p>
        </w:tc>
      </w:tr>
      <w:tr w:rsidR="00572CA7" w14:paraId="7EB0C7E0" w14:textId="77777777" w:rsidTr="006114CF">
        <w:tc>
          <w:tcPr>
            <w:tcW w:w="3116" w:type="dxa"/>
          </w:tcPr>
          <w:p w14:paraId="4D984A69" w14:textId="77777777" w:rsidR="00572CA7" w:rsidRDefault="00572CA7" w:rsidP="006114CF">
            <w:pPr>
              <w:rPr>
                <w:b/>
                <w:bCs/>
              </w:rPr>
            </w:pPr>
            <w:r>
              <w:rPr>
                <w:b/>
                <w:bCs/>
              </w:rPr>
              <w:t>$10,000 - $100,000</w:t>
            </w:r>
          </w:p>
        </w:tc>
        <w:tc>
          <w:tcPr>
            <w:tcW w:w="3117" w:type="dxa"/>
          </w:tcPr>
          <w:p w14:paraId="666B82D9" w14:textId="77777777" w:rsidR="00572CA7" w:rsidRDefault="00572CA7" w:rsidP="006114CF">
            <w:pPr>
              <w:rPr>
                <w:b/>
                <w:bCs/>
              </w:rPr>
            </w:pPr>
            <w:r>
              <w:rPr>
                <w:b/>
                <w:bCs/>
              </w:rPr>
              <w:t>3%</w:t>
            </w:r>
          </w:p>
        </w:tc>
        <w:tc>
          <w:tcPr>
            <w:tcW w:w="3117" w:type="dxa"/>
          </w:tcPr>
          <w:p w14:paraId="45879D77" w14:textId="77777777" w:rsidR="00572CA7" w:rsidRDefault="00572CA7" w:rsidP="006114CF">
            <w:pPr>
              <w:rPr>
                <w:b/>
                <w:bCs/>
              </w:rPr>
            </w:pPr>
            <w:r>
              <w:rPr>
                <w:b/>
                <w:bCs/>
              </w:rPr>
              <w:t>$2,500</w:t>
            </w:r>
          </w:p>
        </w:tc>
      </w:tr>
      <w:tr w:rsidR="00572CA7" w14:paraId="48C1C024" w14:textId="77777777" w:rsidTr="006114CF">
        <w:tc>
          <w:tcPr>
            <w:tcW w:w="3116" w:type="dxa"/>
          </w:tcPr>
          <w:p w14:paraId="5EF0E0EC" w14:textId="77777777" w:rsidR="00572CA7" w:rsidRDefault="00572CA7" w:rsidP="006114CF">
            <w:pPr>
              <w:rPr>
                <w:b/>
                <w:bCs/>
              </w:rPr>
            </w:pPr>
            <w:r>
              <w:rPr>
                <w:b/>
                <w:bCs/>
              </w:rPr>
              <w:t>Over $100,000</w:t>
            </w:r>
          </w:p>
        </w:tc>
        <w:tc>
          <w:tcPr>
            <w:tcW w:w="3117" w:type="dxa"/>
          </w:tcPr>
          <w:p w14:paraId="59F1A403" w14:textId="77777777" w:rsidR="00572CA7" w:rsidRDefault="00572CA7" w:rsidP="006114CF">
            <w:pPr>
              <w:rPr>
                <w:b/>
                <w:bCs/>
              </w:rPr>
            </w:pPr>
            <w:r>
              <w:rPr>
                <w:b/>
                <w:bCs/>
              </w:rPr>
              <w:t>2%</w:t>
            </w:r>
          </w:p>
        </w:tc>
        <w:tc>
          <w:tcPr>
            <w:tcW w:w="3117" w:type="dxa"/>
          </w:tcPr>
          <w:p w14:paraId="262DDE9C" w14:textId="77777777" w:rsidR="00572CA7" w:rsidRDefault="00572CA7" w:rsidP="006114CF">
            <w:pPr>
              <w:rPr>
                <w:b/>
                <w:bCs/>
              </w:rPr>
            </w:pPr>
            <w:r>
              <w:rPr>
                <w:b/>
                <w:bCs/>
              </w:rPr>
              <w:t>$5,000</w:t>
            </w:r>
          </w:p>
        </w:tc>
      </w:tr>
      <w:tr w:rsidR="00572CA7" w14:paraId="7265DF3D" w14:textId="77777777" w:rsidTr="006114CF">
        <w:tc>
          <w:tcPr>
            <w:tcW w:w="3116" w:type="dxa"/>
          </w:tcPr>
          <w:p w14:paraId="4BF50B21" w14:textId="77777777" w:rsidR="00572CA7" w:rsidRDefault="00572CA7" w:rsidP="006114CF">
            <w:pPr>
              <w:rPr>
                <w:b/>
                <w:bCs/>
              </w:rPr>
            </w:pPr>
            <w:r>
              <w:rPr>
                <w:b/>
                <w:bCs/>
              </w:rPr>
              <w:t>Over $1 million</w:t>
            </w:r>
          </w:p>
        </w:tc>
        <w:tc>
          <w:tcPr>
            <w:tcW w:w="3117" w:type="dxa"/>
          </w:tcPr>
          <w:p w14:paraId="12B8D9F7" w14:textId="77777777" w:rsidR="00572CA7" w:rsidRDefault="00572CA7" w:rsidP="006114CF">
            <w:pPr>
              <w:rPr>
                <w:b/>
                <w:bCs/>
              </w:rPr>
            </w:pPr>
            <w:r>
              <w:rPr>
                <w:b/>
                <w:bCs/>
              </w:rPr>
              <w:t>1%</w:t>
            </w:r>
          </w:p>
        </w:tc>
        <w:tc>
          <w:tcPr>
            <w:tcW w:w="3117" w:type="dxa"/>
          </w:tcPr>
          <w:p w14:paraId="588E9E90" w14:textId="77777777" w:rsidR="00572CA7" w:rsidRDefault="00572CA7" w:rsidP="006114CF">
            <w:pPr>
              <w:rPr>
                <w:b/>
                <w:bCs/>
              </w:rPr>
            </w:pPr>
            <w:r>
              <w:rPr>
                <w:b/>
                <w:bCs/>
              </w:rPr>
              <w:t>$10,000</w:t>
            </w:r>
          </w:p>
        </w:tc>
      </w:tr>
    </w:tbl>
    <w:p w14:paraId="13BFFFCC" w14:textId="77777777" w:rsidR="00572CA7" w:rsidRDefault="00572CA7"/>
    <w:p w14:paraId="51837357" w14:textId="38ED8AF2" w:rsidR="00572CA7" w:rsidRDefault="00572CA7">
      <w:r>
        <w:t>We have also capped the fee amounts – we want to make this as fair and equitable for both the victim and FCVA.  These are not easy cases, which takes both time and experience.</w:t>
      </w:r>
    </w:p>
    <w:p w14:paraId="4FAA745B" w14:textId="053CFB5C" w:rsidR="00572CA7" w:rsidRDefault="000E2784">
      <w:r>
        <w:rPr>
          <w:b/>
          <w:bCs/>
        </w:rPr>
        <w:t>Q – Why won’t you accept claims for less than $1,000?</w:t>
      </w:r>
    </w:p>
    <w:p w14:paraId="0B5D6406" w14:textId="0E6D33D4" w:rsidR="00572CA7" w:rsidRPr="00572CA7" w:rsidRDefault="000E2784">
      <w:r>
        <w:t>A – Most banks will not process returns unless the return amount exceeds $1,000.  We will still work with you, but will not pursue a claim with your bank.</w:t>
      </w:r>
      <w:r w:rsidR="00572CA7">
        <w:t xml:space="preserve"> </w:t>
      </w:r>
    </w:p>
    <w:p w14:paraId="7AECF5B6" w14:textId="77777777" w:rsidR="00572CA7" w:rsidRPr="00572CA7" w:rsidRDefault="00572CA7"/>
    <w:p w14:paraId="620E985D" w14:textId="77777777" w:rsidR="00572CA7" w:rsidRPr="00572CA7" w:rsidRDefault="00572CA7"/>
    <w:sectPr w:rsidR="00572CA7" w:rsidRPr="0057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A7"/>
    <w:rsid w:val="000E2784"/>
    <w:rsid w:val="00340679"/>
    <w:rsid w:val="0036688C"/>
    <w:rsid w:val="004A46DD"/>
    <w:rsid w:val="00572CA7"/>
    <w:rsid w:val="0088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2848"/>
  <w15:chartTrackingRefBased/>
  <w15:docId w15:val="{5693EE20-9B74-45EA-B2E2-BA8146EE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CA7"/>
    <w:rPr>
      <w:rFonts w:eastAsiaTheme="majorEastAsia" w:cstheme="majorBidi"/>
      <w:color w:val="272727" w:themeColor="text1" w:themeTint="D8"/>
    </w:rPr>
  </w:style>
  <w:style w:type="paragraph" w:styleId="Title">
    <w:name w:val="Title"/>
    <w:basedOn w:val="Normal"/>
    <w:next w:val="Normal"/>
    <w:link w:val="TitleChar"/>
    <w:uiPriority w:val="10"/>
    <w:qFormat/>
    <w:rsid w:val="00572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CA7"/>
    <w:pPr>
      <w:spacing w:before="160"/>
      <w:jc w:val="center"/>
    </w:pPr>
    <w:rPr>
      <w:i/>
      <w:iCs/>
      <w:color w:val="404040" w:themeColor="text1" w:themeTint="BF"/>
    </w:rPr>
  </w:style>
  <w:style w:type="character" w:customStyle="1" w:styleId="QuoteChar">
    <w:name w:val="Quote Char"/>
    <w:basedOn w:val="DefaultParagraphFont"/>
    <w:link w:val="Quote"/>
    <w:uiPriority w:val="29"/>
    <w:rsid w:val="00572CA7"/>
    <w:rPr>
      <w:i/>
      <w:iCs/>
      <w:color w:val="404040" w:themeColor="text1" w:themeTint="BF"/>
    </w:rPr>
  </w:style>
  <w:style w:type="paragraph" w:styleId="ListParagraph">
    <w:name w:val="List Paragraph"/>
    <w:basedOn w:val="Normal"/>
    <w:uiPriority w:val="34"/>
    <w:qFormat/>
    <w:rsid w:val="00572CA7"/>
    <w:pPr>
      <w:ind w:left="720"/>
      <w:contextualSpacing/>
    </w:pPr>
  </w:style>
  <w:style w:type="character" w:styleId="IntenseEmphasis">
    <w:name w:val="Intense Emphasis"/>
    <w:basedOn w:val="DefaultParagraphFont"/>
    <w:uiPriority w:val="21"/>
    <w:qFormat/>
    <w:rsid w:val="00572CA7"/>
    <w:rPr>
      <w:i/>
      <w:iCs/>
      <w:color w:val="0F4761" w:themeColor="accent1" w:themeShade="BF"/>
    </w:rPr>
  </w:style>
  <w:style w:type="paragraph" w:styleId="IntenseQuote">
    <w:name w:val="Intense Quote"/>
    <w:basedOn w:val="Normal"/>
    <w:next w:val="Normal"/>
    <w:link w:val="IntenseQuoteChar"/>
    <w:uiPriority w:val="30"/>
    <w:qFormat/>
    <w:rsid w:val="00572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CA7"/>
    <w:rPr>
      <w:i/>
      <w:iCs/>
      <w:color w:val="0F4761" w:themeColor="accent1" w:themeShade="BF"/>
    </w:rPr>
  </w:style>
  <w:style w:type="character" w:styleId="IntenseReference">
    <w:name w:val="Intense Reference"/>
    <w:basedOn w:val="DefaultParagraphFont"/>
    <w:uiPriority w:val="32"/>
    <w:qFormat/>
    <w:rsid w:val="00572CA7"/>
    <w:rPr>
      <w:b/>
      <w:bCs/>
      <w:smallCaps/>
      <w:color w:val="0F4761" w:themeColor="accent1" w:themeShade="BF"/>
      <w:spacing w:val="5"/>
    </w:rPr>
  </w:style>
  <w:style w:type="table" w:styleId="TableGrid">
    <w:name w:val="Table Grid"/>
    <w:basedOn w:val="TableNormal"/>
    <w:uiPriority w:val="39"/>
    <w:rsid w:val="005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Cox</dc:creator>
  <cp:keywords/>
  <dc:description/>
  <cp:lastModifiedBy>Becky Cox</cp:lastModifiedBy>
  <cp:revision>2</cp:revision>
  <dcterms:created xsi:type="dcterms:W3CDTF">2025-08-04T16:00:00Z</dcterms:created>
  <dcterms:modified xsi:type="dcterms:W3CDTF">2025-08-04T16:15:00Z</dcterms:modified>
</cp:coreProperties>
</file>